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EU Standard Contractual Clauses – Annex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Background</w:t>
      </w:r>
    </w:p>
    <w:p>
      <w:r>
        <w:rPr>
          <w:b w:val="0"/>
          <w:i w:val="0"/>
        </w:rPr>
        <w:t>These Clauses supplement the Agreement and the DPA for international transfers per GDPR Article 46.</w:t>
      </w:r>
    </w:p>
    <w:p>
      <w:r>
        <w:rPr>
          <w:b w:val="0"/>
          <w:i w:val="0"/>
        </w:rPr>
        <w:t>The Parties select the EU Commission Standard Contractual Clauses (2021/914).</w:t>
      </w:r>
    </w:p>
    <w:p>
      <w:pPr>
        <w:pStyle w:val="Heading1"/>
      </w:pPr>
      <w:r>
        <w:t>Selection</w:t>
      </w:r>
    </w:p>
    <w:p>
      <w:r>
        <w:rPr>
          <w:b w:val="0"/>
          <w:i w:val="0"/>
        </w:rPr>
        <w:t>Module 2 (Controller→Processor) and Module 3 (Processor→Processor) as applicable.</w:t>
      </w:r>
    </w:p>
    <w:p>
      <w:pPr>
        <w:pStyle w:val="Heading1"/>
      </w:pPr>
      <w:r>
        <w:t>Annex I – List of Parties</w:t>
      </w:r>
    </w:p>
    <w:p>
      <w:r>
        <w:rPr>
          <w:b w:val="0"/>
          <w:i w:val="0"/>
        </w:rPr>
        <w:t>Data exporter: Customer (Controller). Data importer: Xyberteq Innovations Sdn. Bhd. (Processor). EU Representative: «Insert Provider: EDPO / DataRep / The DPO Centre», Registered Address, Contact Email.</w:t>
      </w:r>
    </w:p>
    <w:p>
      <w:pPr>
        <w:pStyle w:val="Heading1"/>
      </w:pPr>
      <w:r>
        <w:t>Annex I – Description of Transfer</w:t>
      </w:r>
    </w:p>
    <w:p>
      <w:r>
        <w:rPr>
          <w:b w:val="0"/>
          <w:i w:val="0"/>
        </w:rPr>
        <w:t>Subject matter and duration: As per DPA.</w:t>
      </w:r>
    </w:p>
    <w:p>
      <w:r>
        <w:rPr>
          <w:b w:val="0"/>
          <w:i w:val="0"/>
        </w:rPr>
        <w:t>Categories of data subjects and data: As per DPA.</w:t>
      </w:r>
    </w:p>
    <w:p>
      <w:r>
        <w:rPr>
          <w:b w:val="0"/>
          <w:i w:val="0"/>
        </w:rPr>
        <w:t>Frequency: Continuous data flows during service delivery.</w:t>
      </w:r>
    </w:p>
    <w:p>
      <w:r>
        <w:rPr>
          <w:b w:val="0"/>
          <w:i w:val="0"/>
        </w:rPr>
        <w:t>Sensitive data: None intentionally processed.</w:t>
      </w:r>
    </w:p>
    <w:p>
      <w:r>
        <w:rPr>
          <w:b w:val="0"/>
          <w:i w:val="0"/>
        </w:rPr>
        <w:t>Nature of processing: Hosting, storage, analysis and support.</w:t>
      </w:r>
    </w:p>
    <w:p>
      <w:r>
        <w:rPr>
          <w:b w:val="0"/>
          <w:i w:val="0"/>
        </w:rPr>
        <w:t>Retention: As per retention policy/Agreement.</w:t>
      </w:r>
    </w:p>
    <w:p>
      <w:pPr>
        <w:pStyle w:val="Heading1"/>
      </w:pPr>
      <w:r>
        <w:t>Annex II – Technical &amp; Organisational Measures</w:t>
      </w:r>
    </w:p>
    <w:p>
      <w:r>
        <w:rPr>
          <w:b w:val="0"/>
          <w:i w:val="0"/>
        </w:rPr>
        <w:t>See TOMs in DPA Annex 2.</w:t>
      </w:r>
    </w:p>
    <w:p>
      <w:pPr>
        <w:pStyle w:val="Heading1"/>
      </w:pPr>
      <w:r>
        <w:t>Annex III – Sub‑processors</w:t>
      </w:r>
    </w:p>
    <w:p>
      <w:r>
        <w:rPr>
          <w:b w:val="0"/>
          <w:i w:val="0"/>
        </w:rPr>
        <w:t>See DPA Annex 3.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