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GDPR Compliance Policy Summary</w:t>
      </w:r>
    </w:p>
    <w:p>
      <w:r>
        <w:rPr>
          <w:b w:val="0"/>
          <w:i/>
        </w:rPr>
        <w:t>Xyberteq Innovations Sdn. Bhd. | Company No: 201701035190 (1249361-M)</w:t>
      </w:r>
    </w:p>
    <w:p>
      <w:r>
        <w:rPr>
          <w:b w:val="0"/>
          <w:i/>
        </w:rPr>
        <w:t>No.14, Persiaran Damansara Endah, Damansara Endah, Damansara Heights, 50490 Kuala Lumpur, Malaysia</w:t>
      </w:r>
    </w:p>
    <w:p>
      <w:r>
        <w:rPr>
          <w:b w:val="0"/>
          <w:i/>
        </w:rPr>
        <w:t>Date: November 12, 2025</w:t>
      </w:r>
    </w:p>
    <w:p/>
    <w:p>
      <w:pPr>
        <w:pStyle w:val="Heading1"/>
      </w:pPr>
      <w:r>
        <w:t>Scope &amp; Products</w:t>
      </w:r>
    </w:p>
    <w:p>
      <w:r>
        <w:rPr>
          <w:b w:val="0"/>
          <w:i w:val="0"/>
        </w:rPr>
        <w:t>This policy summarises GDPR governance across Sentient Spire QCS™ (core platform), Sentient Spire Advisory, Sentient Spire Exposure Intelligence, Sentient Spire Mobile Solution.</w:t>
      </w:r>
    </w:p>
    <w:p>
      <w:pPr>
        <w:pStyle w:val="Heading1"/>
      </w:pPr>
      <w:r>
        <w:t>Roles</w:t>
      </w:r>
    </w:p>
    <w:p>
      <w:r>
        <w:rPr>
          <w:b w:val="0"/>
          <w:i w:val="0"/>
        </w:rPr>
        <w:t>Controller: Xyberteq Innovations Sdn. Bhd.. Processor: As applicable per client engagement. DPO: appointed by this letter. EU Representative: «Insert Provider: EDPO / DataRep / The DPO Centre», Registered Address, Contact Email (to be confirmed).</w:t>
      </w:r>
    </w:p>
    <w:p>
      <w:pPr>
        <w:pStyle w:val="Heading1"/>
      </w:pPr>
      <w:r>
        <w:t>Framework</w:t>
      </w:r>
    </w:p>
    <w:p>
      <w:r>
        <w:rPr>
          <w:b w:val="0"/>
          <w:i w:val="0"/>
        </w:rPr>
        <w:t>Policies &amp; procedures mapped to GDPR Articles; integration with ISO 27001 management system; annual reviews.</w:t>
      </w:r>
    </w:p>
    <w:p>
      <w:pPr>
        <w:pStyle w:val="Heading1"/>
      </w:pPr>
      <w:r>
        <w:t>Key Controls</w:t>
      </w:r>
    </w:p>
    <w:p>
      <w:r>
        <w:rPr>
          <w:b w:val="0"/>
          <w:i w:val="0"/>
        </w:rPr>
        <w:t>Access control &amp; MFA; encryption; logging &amp; monitoring; incident response; data retention; vendor due diligence; DSAR workflow; training.</w:t>
      </w:r>
    </w:p>
    <w:p>
      <w:pPr>
        <w:pStyle w:val="Heading1"/>
      </w:pPr>
      <w:r>
        <w:t>Records</w:t>
      </w:r>
    </w:p>
    <w:p>
      <w:r>
        <w:rPr>
          <w:b w:val="0"/>
          <w:i w:val="0"/>
        </w:rPr>
        <w:t>ROPA, SAR tracker, vendor DPA repository, SCC annexes, management review minutes.</w:t>
      </w:r>
    </w:p>
    <w:p>
      <w:pPr>
        <w:pStyle w:val="Heading1"/>
      </w:pPr>
      <w:r>
        <w:t>Review Cycle</w:t>
      </w:r>
    </w:p>
    <w:p>
      <w:r>
        <w:rPr>
          <w:b w:val="0"/>
          <w:i w:val="0"/>
        </w:rPr>
        <w:t>Annual review or after major changes; evidence stored in compliance repository.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