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Data Processing Addendum (DPA)</w:t>
      </w:r>
    </w:p>
    <w:p>
      <w:r>
        <w:rPr>
          <w:b w:val="0"/>
          <w:i/>
        </w:rPr>
        <w:t>Xyberteq Innovations Sdn. Bhd. | Company No: 201701035190 (1249361-M)</w:t>
      </w:r>
    </w:p>
    <w:p>
      <w:r>
        <w:rPr>
          <w:b w:val="0"/>
          <w:i/>
        </w:rPr>
        <w:t>No.14, Persiaran Damansara Endah, Damansara Endah, Damansara Heights, 50490 Kuala Lumpur, Malaysia</w:t>
      </w:r>
    </w:p>
    <w:p>
      <w:r>
        <w:rPr>
          <w:b w:val="0"/>
          <w:i/>
        </w:rPr>
        <w:t>Date: November 12, 2025</w:t>
      </w:r>
    </w:p>
    <w:p/>
    <w:p>
      <w:pPr>
        <w:pStyle w:val="Heading1"/>
      </w:pPr>
      <w:r>
        <w:t>Definitions</w:t>
      </w:r>
    </w:p>
    <w:p>
      <w:r>
        <w:rPr>
          <w:b w:val="0"/>
          <w:i w:val="0"/>
        </w:rPr>
        <w:t>Capitalised terms have the meaning given in the Agreement and this DPA. “EU Data Protection Laws” means GDPR and national implementations.</w:t>
      </w:r>
    </w:p>
    <w:p>
      <w:pPr>
        <w:pStyle w:val="Heading1"/>
      </w:pPr>
      <w:r>
        <w:t>Role of the Parties</w:t>
      </w:r>
    </w:p>
    <w:p>
      <w:r>
        <w:rPr>
          <w:b w:val="0"/>
          <w:i w:val="0"/>
        </w:rPr>
        <w:t>Customer acts as Controller and Xyberteq Innovations Sdn. Bhd. acts as Processor in respect of Personal Data processed through Sentient Spire QCS™ (core platform), Sentient Spire Advisory, Sentient Spire Exposure Intelligence, Sentient Spire Mobile Solution.</w:t>
      </w:r>
    </w:p>
    <w:p>
      <w:pPr>
        <w:pStyle w:val="Heading1"/>
      </w:pPr>
      <w:r>
        <w:t>Processing Details</w:t>
      </w:r>
    </w:p>
    <w:p>
      <w:r>
        <w:rPr>
          <w:b w:val="0"/>
          <w:i w:val="0"/>
        </w:rPr>
        <w:t>Subject matter: Provision of Sentient Spire QCS™ (core platform), Sentient Spire Advisory, Sentient Spire Exposure Intelligence, Sentient Spire Mobile Solution.</w:t>
      </w:r>
    </w:p>
    <w:p>
      <w:r>
        <w:rPr>
          <w:b w:val="0"/>
          <w:i w:val="0"/>
        </w:rPr>
        <w:t>Duration: Term of the Agreement + retention periods.</w:t>
      </w:r>
    </w:p>
    <w:p>
      <w:r>
        <w:rPr>
          <w:b w:val="0"/>
          <w:i w:val="0"/>
        </w:rPr>
        <w:t>Nature and purpose: Hosting, analysis, logging, AI‑assisted detection, customer support.</w:t>
      </w:r>
    </w:p>
    <w:p>
      <w:r>
        <w:rPr>
          <w:b w:val="0"/>
          <w:i w:val="0"/>
        </w:rPr>
        <w:t>Categories of data subjects: end users, client staff, administrators.</w:t>
      </w:r>
    </w:p>
    <w:p>
      <w:r>
        <w:rPr>
          <w:b w:val="0"/>
          <w:i w:val="0"/>
        </w:rPr>
        <w:t>Categories of personal data: identifiers, contact details, auth tokens (hashed), telemetry/log metadata; no special categories intentionally processed.</w:t>
      </w:r>
    </w:p>
    <w:p>
      <w:r>
        <w:rPr>
          <w:b w:val="0"/>
          <w:i w:val="0"/>
        </w:rPr>
        <w:t>Sub‑processors: Google Cloud (primary hosting), email/SMS providers (as configured), ticketing/CRM systems (if enabled).</w:t>
      </w:r>
    </w:p>
    <w:p>
      <w:pPr>
        <w:pStyle w:val="Heading1"/>
      </w:pPr>
      <w:r>
        <w:t>Processor Obligations</w:t>
      </w:r>
    </w:p>
    <w:p>
      <w:r>
        <w:rPr>
          <w:b w:val="0"/>
          <w:i w:val="0"/>
        </w:rPr>
        <w:t>Process Personal Data only on documented instructions.</w:t>
      </w:r>
    </w:p>
    <w:p>
      <w:r>
        <w:rPr>
          <w:b w:val="0"/>
          <w:i w:val="0"/>
        </w:rPr>
        <w:t>Confidentiality by all personnel.</w:t>
      </w:r>
    </w:p>
    <w:p>
      <w:r>
        <w:rPr>
          <w:b w:val="0"/>
          <w:i w:val="0"/>
        </w:rPr>
        <w:t>Security measures (Annex 2).</w:t>
      </w:r>
    </w:p>
    <w:p>
      <w:r>
        <w:rPr>
          <w:b w:val="0"/>
          <w:i w:val="0"/>
        </w:rPr>
        <w:t>Assist with data subject rights and DPIA.</w:t>
      </w:r>
    </w:p>
    <w:p>
      <w:r>
        <w:rPr>
          <w:b w:val="0"/>
          <w:i w:val="0"/>
        </w:rPr>
        <w:t>Notify Controller of Personal Data Breach without undue delay.</w:t>
      </w:r>
    </w:p>
    <w:p>
      <w:r>
        <w:rPr>
          <w:b w:val="0"/>
          <w:i w:val="0"/>
        </w:rPr>
        <w:t>Delete or return Personal Data at end of services.</w:t>
      </w:r>
    </w:p>
    <w:p>
      <w:pPr>
        <w:pStyle w:val="Heading1"/>
      </w:pPr>
      <w:r>
        <w:t>International Transfers &amp; SCCs</w:t>
      </w:r>
    </w:p>
    <w:p>
      <w:r>
        <w:rPr>
          <w:b w:val="0"/>
          <w:i w:val="0"/>
        </w:rPr>
        <w:t>For transfers to third countries without adequacy, Parties incorporate the EU Commission SCCs (2021/914) – Modules 2 and/or 3 as applicable.</w:t>
      </w:r>
    </w:p>
    <w:p>
      <w:pPr>
        <w:pStyle w:val="Heading1"/>
      </w:pPr>
      <w:r>
        <w:t>Audit &amp; Compliance</w:t>
      </w:r>
    </w:p>
    <w:p>
      <w:r>
        <w:rPr>
          <w:b w:val="0"/>
          <w:i w:val="0"/>
        </w:rPr>
        <w:t>Make available information necessary to demonstrate compliance and allow for audits subject to reasonable notice and confidentiality.</w:t>
      </w:r>
    </w:p>
    <w:p>
      <w:pPr>
        <w:pStyle w:val="Heading1"/>
      </w:pPr>
      <w:r>
        <w:t>Annex 1 – Processing Summary</w:t>
      </w:r>
    </w:p>
    <w:p>
      <w:r>
        <w:rPr>
          <w:b w:val="0"/>
          <w:i w:val="0"/>
        </w:rPr>
        <w:t>See ROPA register. Product scope: Sentient Spire QCS™ (core platform), Sentient Spire Advisory, Sentient Spire Exposure Intelligence, Sentient Spire Mobile Solution.</w:t>
      </w:r>
    </w:p>
    <w:p>
      <w:pPr>
        <w:pStyle w:val="Heading1"/>
      </w:pPr>
      <w:r>
        <w:t>Annex 2 – Technical &amp; Organisational Measures (TOMs)</w:t>
      </w:r>
    </w:p>
    <w:p>
      <w:r>
        <w:rPr>
          <w:b w:val="0"/>
          <w:i w:val="0"/>
        </w:rPr>
        <w:t>Encryption in transit (TLS 1.2+), encryption at rest (GCP managed keys/KMS).</w:t>
      </w:r>
    </w:p>
    <w:p>
      <w:r>
        <w:rPr>
          <w:b w:val="0"/>
          <w:i w:val="0"/>
        </w:rPr>
        <w:t>Network segregation, firewalling, WAF/Cloud Armor, vulnerability management.</w:t>
      </w:r>
    </w:p>
    <w:p>
      <w:r>
        <w:rPr>
          <w:b w:val="0"/>
          <w:i w:val="0"/>
        </w:rPr>
        <w:t>Access control (least privilege, MFA, strong IAM, logging/monitoring).</w:t>
      </w:r>
    </w:p>
    <w:p>
      <w:r>
        <w:rPr>
          <w:b w:val="0"/>
          <w:i w:val="0"/>
        </w:rPr>
        <w:t>Backups, disaster recovery, incident response plan.</w:t>
      </w:r>
    </w:p>
    <w:p>
      <w:r>
        <w:rPr>
          <w:b w:val="0"/>
          <w:i w:val="0"/>
        </w:rPr>
        <w:t>Secure SDLC, code review, secrets management.</w:t>
      </w:r>
    </w:p>
    <w:p>
      <w:r>
        <w:rPr>
          <w:b w:val="0"/>
          <w:i w:val="0"/>
        </w:rPr>
        <w:t>Supplier due diligence, security awareness training.</w:t>
      </w:r>
    </w:p>
    <w:p>
      <w:pPr>
        <w:pStyle w:val="Heading1"/>
      </w:pPr>
      <w:r>
        <w:t>Annex 3 – Sub‑processors</w:t>
      </w:r>
    </w:p>
    <w:p>
      <w:r>
        <w:rPr>
          <w:b w:val="0"/>
          <w:i w:val="0"/>
        </w:rPr>
        <w:t>Google Cloud Platform (compute, storage, databases).</w:t>
      </w:r>
    </w:p>
    <w:p>
      <w:r>
        <w:rPr>
          <w:b w:val="0"/>
          <w:i w:val="0"/>
        </w:rPr>
        <w:t>Mail/SMS providers (e.g., SendGrid/Twilio) if configured by the Customer.</w:t>
      </w:r>
    </w:p>
    <w:p>
      <w:r>
        <w:rPr>
          <w:b w:val="0"/>
          <w:i w:val="0"/>
        </w:rPr>
        <w:t>Optional threat intel integrations configured by Customer (e.g., AbuseIPDB, Maltiverse).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