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AI Impact Assessment / DPIA</w:t>
      </w:r>
    </w:p>
    <w:p>
      <w:r>
        <w:rPr>
          <w:b w:val="0"/>
          <w:i/>
        </w:rPr>
        <w:t>Xyberteq Innovations Sdn. Bhd. | Company No: 201701035190 (1249361-M)</w:t>
      </w:r>
    </w:p>
    <w:p>
      <w:r>
        <w:rPr>
          <w:b w:val="0"/>
          <w:i/>
        </w:rPr>
        <w:t>No.14, Persiaran Damansara Endah, Damansara Endah, Damansara Heights, 50490 Kuala Lumpur, Malaysia</w:t>
      </w:r>
    </w:p>
    <w:p>
      <w:r>
        <w:rPr>
          <w:b w:val="0"/>
          <w:i/>
        </w:rPr>
        <w:t>Date: November 12, 2025</w:t>
      </w:r>
    </w:p>
    <w:p/>
    <w:p>
      <w:pPr>
        <w:pStyle w:val="Heading1"/>
      </w:pPr>
      <w:r>
        <w:t>Overview</w:t>
      </w:r>
    </w:p>
    <w:p>
      <w:r>
        <w:rPr>
          <w:b w:val="0"/>
          <w:i w:val="0"/>
        </w:rPr>
        <w:t>Xyberteq Innovations Sdn. Bhd. operates AI‑assisted cybersecurity services under Sentient Spire QCS™ (core platform), Sentient Spire Advisory, Sentient Spire Exposure Intelligence, Sentient Spire Mobile Solution. This assessment identifies risks and mitigations.</w:t>
      </w:r>
    </w:p>
    <w:p>
      <w:pPr>
        <w:pStyle w:val="Heading1"/>
      </w:pPr>
      <w:r>
        <w:t>Processing Description</w:t>
      </w:r>
    </w:p>
    <w:p>
      <w:r>
        <w:rPr>
          <w:b w:val="0"/>
          <w:i w:val="0"/>
        </w:rPr>
        <w:t>Telemetry/log data (pseudonymised) processed to detect threats, anomalies, and triage incidents.</w:t>
      </w:r>
    </w:p>
    <w:p>
      <w:pPr>
        <w:pStyle w:val="Heading1"/>
      </w:pPr>
      <w:r>
        <w:t>Lawful Basis &amp; Necessity</w:t>
      </w:r>
    </w:p>
    <w:p>
      <w:r>
        <w:rPr>
          <w:b w:val="0"/>
          <w:i w:val="0"/>
        </w:rPr>
        <w:t>Contractual necessity for service delivery and legitimate interests in security.</w:t>
      </w:r>
    </w:p>
    <w:p>
      <w:pPr>
        <w:pStyle w:val="Heading1"/>
      </w:pPr>
      <w:r>
        <w:t>Risk Assessment</w:t>
      </w:r>
    </w:p>
    <w:p>
      <w:r>
        <w:rPr>
          <w:b w:val="0"/>
          <w:i w:val="0"/>
        </w:rPr>
        <w:t>Risks: re‑identification, model bias, unintended data retention, access misuse.</w:t>
      </w:r>
    </w:p>
    <w:p>
      <w:r>
        <w:rPr>
          <w:b w:val="0"/>
          <w:i w:val="0"/>
        </w:rPr>
        <w:t>Mitigations: pseudonymisation, RBAC/MFA, retention limits, human‑in‑the‑loop validation, explainability for key decisions.</w:t>
      </w:r>
    </w:p>
    <w:p>
      <w:pPr>
        <w:pStyle w:val="Heading1"/>
      </w:pPr>
      <w:r>
        <w:t>Data Transfers</w:t>
      </w:r>
    </w:p>
    <w:p>
      <w:r>
        <w:rPr>
          <w:b w:val="0"/>
          <w:i w:val="0"/>
        </w:rPr>
        <w:t>SCCs for any non‑EEA transfers.</w:t>
      </w:r>
    </w:p>
    <w:p>
      <w:pPr>
        <w:pStyle w:val="Heading1"/>
      </w:pPr>
      <w:r>
        <w:t>Data Subject Rights</w:t>
      </w:r>
    </w:p>
    <w:p>
      <w:r>
        <w:rPr>
          <w:b w:val="0"/>
          <w:i w:val="0"/>
        </w:rPr>
        <w:t>Transparent privacy notice, DSAR workflow, opt‑out for non‑essential analytics.</w:t>
      </w:r>
    </w:p>
    <w:p>
      <w:pPr>
        <w:pStyle w:val="Heading1"/>
      </w:pPr>
      <w:r>
        <w:t>Review &amp; Approval</w:t>
      </w:r>
    </w:p>
    <w:p>
      <w:r>
        <w:rPr>
          <w:b w:val="0"/>
          <w:i w:val="0"/>
        </w:rPr>
        <w:t>Reviewed annually or upon material changes to processing activities.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